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24" w:rsidRDefault="00E80424" w:rsidP="00E804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</w:p>
    <w:p w:rsidR="00E80424" w:rsidRPr="00E80424" w:rsidRDefault="00E80424" w:rsidP="00E804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разработке проектной продукции стадии «Проектная </w:t>
      </w:r>
      <w:r w:rsidR="008D076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окументация» объекта: «Производственная база в Ю-В </w:t>
      </w:r>
      <w:proofErr w:type="spellStart"/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промузле</w:t>
      </w:r>
      <w:proofErr w:type="spellEnd"/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Чкаловского района г. </w:t>
      </w:r>
      <w:bookmarkStart w:id="0" w:name="_GoBack"/>
      <w:r w:rsidRPr="00E804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Екатеринбурга. Здание склада металлоконструкций»</w:t>
      </w:r>
    </w:p>
    <w:tbl>
      <w:tblPr>
        <w:tblpPr w:rightFromText="45" w:vertAnchor="text" w:tblpXSpec="center"/>
        <w:tblW w:w="963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9"/>
        <w:gridCol w:w="6940"/>
      </w:tblGrid>
      <w:tr w:rsidR="00E80424" w:rsidRPr="00E80424" w:rsidTr="00E80424">
        <w:trPr>
          <w:trHeight w:val="675"/>
          <w:jc w:val="center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bookmarkEnd w:id="0"/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-23"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задаваемых показателей</w:t>
            </w:r>
          </w:p>
        </w:tc>
        <w:tc>
          <w:tcPr>
            <w:tcW w:w="7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для проектирования/выполнения работ</w:t>
            </w:r>
          </w:p>
        </w:tc>
      </w:tr>
      <w:tr w:rsidR="00E80424" w:rsidRPr="00E80424" w:rsidTr="00E80424">
        <w:trPr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80424" w:rsidRPr="00E80424" w:rsidRDefault="00E80424" w:rsidP="00E80424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679" w:right="12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проектирования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</w:t>
            </w:r>
          </w:p>
        </w:tc>
      </w:tr>
      <w:tr w:rsidR="00E80424" w:rsidRPr="00E80424" w:rsidTr="00E80424">
        <w:trPr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80424" w:rsidRPr="00E80424" w:rsidRDefault="00E80424" w:rsidP="00E8042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база в Ю-В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промузле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Чкаловского района г. Екатеринбурга. Здание склада металлоконструкций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79" w:right="12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Новое строительство</w:t>
            </w:r>
          </w:p>
        </w:tc>
      </w:tr>
      <w:tr w:rsidR="00E80424" w:rsidRPr="00E80424" w:rsidTr="00E80424">
        <w:trPr>
          <w:trHeight w:val="39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Заказчика</w:t>
            </w:r>
          </w:p>
        </w:tc>
      </w:tr>
      <w:tr w:rsidR="00E80424" w:rsidRPr="00E80424" w:rsidTr="00E80424">
        <w:trPr>
          <w:trHeight w:val="39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выполнения работ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Эскизный проект</w:t>
            </w:r>
          </w:p>
          <w:p w:rsidR="00E80424" w:rsidRPr="00E80424" w:rsidRDefault="00E80424" w:rsidP="00E8042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продукции стадии «Проектная документация»</w:t>
            </w:r>
          </w:p>
        </w:tc>
      </w:tr>
      <w:tr w:rsidR="00E80424" w:rsidRPr="00E80424" w:rsidTr="00E80424">
        <w:trPr>
          <w:trHeight w:val="39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Указания о выделении этапов строительства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предусмотреть в один этап</w:t>
            </w:r>
          </w:p>
        </w:tc>
      </w:tr>
      <w:tr w:rsidR="00E80424" w:rsidRPr="00E80424" w:rsidTr="00E80424">
        <w:trPr>
          <w:trHeight w:val="39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и уровень ответственности здания (сооружения)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ГОСТ 27751-2014: Класс здания – КС-2; коэффициент надежности по ответственности (нагрузке) – 1,0 (нормальный).</w:t>
            </w:r>
          </w:p>
        </w:tc>
      </w:tr>
      <w:tr w:rsidR="00E80424" w:rsidRPr="00E80424" w:rsidTr="00E80424">
        <w:trPr>
          <w:trHeight w:val="39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80424" w:rsidRPr="00E80424" w:rsidRDefault="00E80424" w:rsidP="00E80424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проекту. Назначение, состав и площадь проектируемого объекта. Основные технико-экономические показатели.</w:t>
            </w:r>
          </w:p>
        </w:tc>
        <w:tc>
          <w:tcPr>
            <w:tcW w:w="7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предусмотреть размещение одного складского здания на земельном участке с кадастровым номером 66:41:0509008:28.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запроектировать: одноэтажным в складской части, двухэтажным – 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административой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части.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здания принять в осях: 48,0 х 30,0 м. (высоту уточнить при проектировании).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Питьевое водоснабжение осуществлять на привозной воде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к сетям инженерно-технического обеспечения предусмотреть в соответствии с ТУ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предприятия осуществляется в одну смену с 8-часовым рабочим днем. Штатная численность в соответствии со штатным расписанием.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складской части здание предусмотреть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двухпролетным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80424" w:rsidRPr="00E80424" w:rsidRDefault="00E80424" w:rsidP="00E8042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предусмотреть 2 кран-балки по г/п 5 тонн (по 1 в каждом пролете), с высотой подъёма под крюком 6,5 м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лагоустройству территории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генеральный план с благоустройством и озеленением территории с учетом существующих и предусмотренных проектом инженерных сетей и сооружений.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план освещения основных зон, элементов. Освещение территории и объекта должно отвечать всем действующим требованиям, при этом необходимо минимизировать количество отдельно стоящих столбов освещения. Опоры освещения принять аналогичными существующим.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верха покрытия тротуаров, пешеходных дорожек, автомобильных проездов в границах благоустройства должен быть выполнен выше уровня верха примыкающих газонов на 30-50 мм.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нахождения тротуаров, дорожек в выемках выполнить вдоль дренирующий лоток.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Примыкания и повороты дорожек предусмотреть по радиусам, избегая прямых и острых углов.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Предусмотреть возможность временной остановки и стоянки большегрузных автотранспортных средств длиной до 20 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Радиусы поворота должны быть приняты для разворота автотранспортных средств длиной до 20 м. с учётом возможности однократного применения заднего хода.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архитектурно-строительным, объемно-планировочным и конструктивным решениям, условиям блокировки, отделке здания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Архитектурно-строительные решения, технология производства работ</w:t>
            </w:r>
            <w:proofErr w:type="gram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применяемые материалы должны соответствовать действующим требованиям нормативных актов, сводам правил, нормам и стандартам РФ. Для повышения эксплуатационных характеристик объекта (прочности, надежности и долговечности) применить современные строительные технологии и материалы: устойчивых к летним температурам, в зимнее время к низким температурам до –40°С.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Объемно-планировочные решения здания.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в соответствии с утверждённым ЭП должны обеспечивать их рациональную эксплуатацию, способствующих повышению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здания, с применением оптимальной ориентации и конфигурации здания, и ограждающих конструкций. Внутреннее пространство объекта в соответствии с функциональным назначением его помещений и их расположением, должны отвечать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 эргономики и технологиям складского производства.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Объемно-планировочные решения должны быть согласованы с решениями внутренних инженерных систем и мероприятиями, направленными:</w:t>
            </w:r>
          </w:p>
          <w:p w:rsidR="00E80424" w:rsidRPr="00E80424" w:rsidRDefault="00E80424" w:rsidP="00E8042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обеспечение защиты людей при пожаре;</w:t>
            </w:r>
          </w:p>
          <w:p w:rsidR="00E80424" w:rsidRPr="00E80424" w:rsidRDefault="00E80424" w:rsidP="00E8042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обеспечение эффективного расходования энергии на обогрев, вентилирование и кондиционирование здания;</w:t>
            </w:r>
          </w:p>
          <w:p w:rsidR="00E80424" w:rsidRPr="00E80424" w:rsidRDefault="00E80424" w:rsidP="00E80424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оптимизацию структуры инженерных систем и коммуникаций.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Внешняя отделка.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стен трехслойные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сендвич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-панели производства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Металлпрофиль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Цвета стен принять с учетом существующей застройки, согласовать с Заказчиком.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Конструктивные решения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здания:</w:t>
            </w:r>
          </w:p>
          <w:p w:rsidR="00E80424" w:rsidRPr="00E80424" w:rsidRDefault="00E80424" w:rsidP="00E8042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каркас здания сборные ж/б колонны, марку и серию определить проектом</w:t>
            </w:r>
          </w:p>
          <w:p w:rsidR="00E80424" w:rsidRPr="00E80424" w:rsidRDefault="00E80424" w:rsidP="00E8042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сборные ж/б плиты</w:t>
            </w:r>
          </w:p>
          <w:p w:rsidR="00E80424" w:rsidRPr="00E80424" w:rsidRDefault="00E80424" w:rsidP="00E8042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Лестницы сборные ж/б ступени по металлическим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косоурам</w:t>
            </w:r>
            <w:proofErr w:type="spellEnd"/>
          </w:p>
          <w:p w:rsidR="00E80424" w:rsidRPr="00E80424" w:rsidRDefault="00E80424" w:rsidP="00E8042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двускатная с наружным водостоком.</w:t>
            </w:r>
          </w:p>
          <w:p w:rsidR="00E80424" w:rsidRPr="00E80424" w:rsidRDefault="00E80424" w:rsidP="00E80424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Фундаменты столбчатые сборные, марку определить проектом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Энергосберегающие характеристики здания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должны быть обеспечены за счет применения планировочных решений, способствующих повышению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теплоэффективности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Оконная система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соответствовать классу пожарной опасности и гигиеническим требованиям, подтвержденному сертификатом соответствия.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Отделочные материалы и изделия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применить в соответствии с эстетическими, технологическими, противопожарными и санитарными требованиями. 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Полы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80424" w:rsidRPr="00E80424" w:rsidRDefault="00E80424" w:rsidP="00E8042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складской части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– силовая монолитная ж/б плита со стяжкой 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топингом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ударостойкое, с учетом производственных процессов; в «мокрых» помещениях финишное покрытие должно быть с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антискользящей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поверхностью.</w:t>
            </w:r>
          </w:p>
          <w:p w:rsidR="00E80424" w:rsidRPr="00E80424" w:rsidRDefault="00E80424" w:rsidP="00E8042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на лестницах и лестничных площадках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покрытие из напольной керамической плитки или из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керамогранита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цементно-песчаной стяжке и установкой керамических плинтусов;</w:t>
            </w:r>
          </w:p>
          <w:p w:rsidR="00E80424" w:rsidRPr="00E80424" w:rsidRDefault="00E80424" w:rsidP="00E8042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административной части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покрытие из напольной керамической плитки или из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керамогранита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цементно-песчаной стяжке и установкой керамических плинтусов.</w:t>
            </w:r>
          </w:p>
          <w:p w:rsidR="00E80424" w:rsidRPr="00E80424" w:rsidRDefault="00E80424" w:rsidP="00E80424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конструкции полов первого этажа дополнительно должно быть предусмотрено устройство теплоизоляции.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Потолки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80424" w:rsidRPr="00E80424" w:rsidRDefault="00E80424" w:rsidP="00E8042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шпатлевка с расшивкой швов, улучшенная окраска водоэмульсионными составами - 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части;</w:t>
            </w:r>
          </w:p>
          <w:p w:rsidR="00E80424" w:rsidRPr="00E80424" w:rsidRDefault="00E80424" w:rsidP="00E80424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«мокрых» помещениях – шпатлевка с расшивкой швов, улучшенная окраска водоэмульсионными составами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Стены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80424" w:rsidRPr="00E80424" w:rsidRDefault="00E80424" w:rsidP="00E8042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местах общего доступа – стены должны быть отштукатурены, должна быть произведена шпатлевка стен.</w:t>
            </w:r>
          </w:p>
          <w:p w:rsidR="00E80424" w:rsidRPr="00E80424" w:rsidRDefault="00E80424" w:rsidP="00E80424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«мокрых» помещениях – керамическая плитка на всю высоту помещениях;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Окна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80424" w:rsidRPr="00E80424" w:rsidRDefault="00E80424" w:rsidP="00E8042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административно-бытовой части двухкамерный стеклопакет (от 24 до 44 мм), с регулируемыми створками и вентиляционными клапанами;</w:t>
            </w:r>
          </w:p>
          <w:p w:rsidR="00E80424" w:rsidRPr="00E80424" w:rsidRDefault="00E80424" w:rsidP="00E80424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складской части глухой пластиковый стеклопакет, на высоте от 3-6 метров (уточнить при проектировании),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Двери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80424" w:rsidRPr="00E80424" w:rsidRDefault="00E80424" w:rsidP="00E8042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входные в (здание) металлические противопожарные с доводчиком, размером не менее 2100х1200 мм, утепленные;</w:t>
            </w:r>
          </w:p>
          <w:p w:rsidR="00E80424" w:rsidRPr="00E80424" w:rsidRDefault="00E80424" w:rsidP="00E8042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в местах общего пользования, 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«мокрых» помещениях – из поливинилхлоридных профилей с доводчиком;</w:t>
            </w:r>
          </w:p>
          <w:p w:rsidR="00E80424" w:rsidRPr="00E80424" w:rsidRDefault="00E80424" w:rsidP="00E80424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ворота подъёмно-секционные габаритами 4000*4800мм с остеклением в средней части полотна;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Конструктивный тип здания: </w:t>
            </w:r>
          </w:p>
          <w:p w:rsidR="00E80424" w:rsidRPr="00E80424" w:rsidRDefault="00E80424" w:rsidP="00E80424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Каркас здания колоны железобетонные, фермы, связи - металлический; Перекрытия 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административноё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– сборные железобетонные.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Фундаменты:</w:t>
            </w:r>
          </w:p>
          <w:p w:rsidR="00E80424" w:rsidRPr="00E80424" w:rsidRDefault="00E80424" w:rsidP="00E80424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тип фундаментов определить проектом по материалам инженерно-геологических изысканий. Фундаменты ж/б </w:t>
            </w:r>
            <w:proofErr w:type="gram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сборные  или</w:t>
            </w:r>
            <w:proofErr w:type="gram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монолитные;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Стены:</w:t>
            </w:r>
          </w:p>
          <w:p w:rsidR="00E80424" w:rsidRPr="00E80424" w:rsidRDefault="00E80424" w:rsidP="00E8042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– навесные сэндвич-панели; тип и производителя согласовать с заказчиком;</w:t>
            </w:r>
          </w:p>
          <w:p w:rsidR="00E80424" w:rsidRPr="00E80424" w:rsidRDefault="00E80424" w:rsidP="00E80424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перегородки –  кирпичные.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Кровля:</w:t>
            </w:r>
          </w:p>
          <w:p w:rsidR="00E80424" w:rsidRPr="00E80424" w:rsidRDefault="00E80424" w:rsidP="00E80424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трехслойные сэндвич панели толщиной 150мм., двухскатная);.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требования к материалам несущих и ограждающих конструкций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Бетон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принять по ГОСТ 7473-2010; марку по прочности – в соответствии с расчетом, марку по морозостойкости и водонепроницаемости – в соответствии с требованиями СП 28.13330.2012 и СП 63.13330.2012.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Арматурные стержни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ГОСТ 5781-82*. Диаметр и класс арматуры принять в соответствии с расчетом.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Толщину несущих стен, колонн, пилонов, диафрагм перекрытий и покрытия принять в соответствии с архитектурно-планировочными решениями вкупе с результатами расчетов на действие нагрузок.</w:t>
            </w:r>
          </w:p>
        </w:tc>
      </w:tr>
      <w:tr w:rsidR="00E80424" w:rsidRPr="00E80424" w:rsidTr="00E80424">
        <w:trPr>
          <w:trHeight w:val="1530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требования к инженерному оборудованию и инженерным сетям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Инженерное обеспечение разработать в соответствии с техническими условиями (ТУ) инженерных служб и с действующими нормативно-правовыми документами РФ.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Проектом предусмотреть комплекс мероприятий по снижению водопотребления, теплопотребления и электропотребления.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проект индивидуального теплового пункта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Водоснабжение: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проекте должны быть предусмотрены:</w:t>
            </w:r>
          </w:p>
          <w:p w:rsidR="00E80424" w:rsidRPr="00E80424" w:rsidRDefault="00E80424" w:rsidP="00E8042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водопровода;</w:t>
            </w:r>
          </w:p>
          <w:p w:rsidR="00E80424" w:rsidRPr="00E80424" w:rsidRDefault="00E80424" w:rsidP="00E8042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противопожарного водопровода</w:t>
            </w:r>
          </w:p>
          <w:p w:rsidR="00E80424" w:rsidRPr="00E80424" w:rsidRDefault="00E80424" w:rsidP="00E8042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горячего водоснабжения;</w:t>
            </w:r>
          </w:p>
          <w:p w:rsidR="00E80424" w:rsidRPr="00E80424" w:rsidRDefault="00E80424" w:rsidP="00E8042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учета водопотребления</w:t>
            </w:r>
          </w:p>
          <w:p w:rsidR="00E80424" w:rsidRPr="00E80424" w:rsidRDefault="00E80424" w:rsidP="00E80424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водопровода в здание запроектировать из ПЭ труб по ГОСТ 18599-2001*.</w:t>
            </w:r>
          </w:p>
          <w:p w:rsidR="00E80424" w:rsidRPr="00E80424" w:rsidRDefault="00E80424" w:rsidP="00E80424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Систему противопожарного водопровода предусмотреть из стальных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водогазопроводных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 по ГОСТ 3264-75*, э/сварных ГОСТ 10704-91.</w:t>
            </w:r>
          </w:p>
          <w:p w:rsidR="00E80424" w:rsidRPr="00E80424" w:rsidRDefault="00E80424" w:rsidP="00E80424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Горячее водоснабжение – нагрев воды осуществлять в ИТП. Для общего учета расхода горячей воды установить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водосчетчики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Водопроводные сети горячего водоснабжения (магистрали, стояки, подводки к сантехническим приборам) выполнить из полипропиленовых труб. Предусмотреть изоляцию трубопроводов холодной и горячей воды и теплоизоляционным материалом.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Водоотведение: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предусматривается хозяйственно-бытовая канализация от сантехнического оборудования и ливневая.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бытовой канализации запроектировать из полипропиленовых труб в выгреб, ёмкость выгреба определить проектом (минимальная ёмкость - 10 м3.)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Ливневая канализация - по уклонам асфальтового покрытия, сбор в существующую канализацию.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Отопление и вентиляция: 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федеральным законом №261-ФЗ, должен быть предусмотрен полный комплекс мероприятий по энергосбережению 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здания:</w:t>
            </w:r>
          </w:p>
          <w:p w:rsidR="00E80424" w:rsidRPr="00E80424" w:rsidRDefault="00E80424" w:rsidP="00E80424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диаметры трубопроводов систем отопления, теплоснабжения и диаметры воздуховодов систем вентиляции должны быть приняты с учетом оптимальных скоростей движения транспортируемой среды и допустимого эквивалентного уровня звука в помещениях;</w:t>
            </w:r>
          </w:p>
          <w:p w:rsidR="00E80424" w:rsidRPr="00E80424" w:rsidRDefault="00E80424" w:rsidP="00E80424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целью максимальной экономии тепла, для поддержания и регулирования заданной температуры в помещениях комплекса в зависимости от погодных условий, необходимо предусмотреть установку на отопительных приборах терморегулирующих клапанов с термостатическим элементом. В ИТП необходимо предусмотреть установку двухканального микропроцессорного контроллера, обеспечивающего погодную коррекцию температуры теплоносителя, подаваемого в системы отопления (проверить наличие качественного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погодозависимого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регулирования в котельной);</w:t>
            </w:r>
          </w:p>
          <w:p w:rsidR="00E80424" w:rsidRPr="00E80424" w:rsidRDefault="00E80424" w:rsidP="00E80424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насосное оборудование системы отопления и смесительных узлов должно быть принято с частотным регулированием;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поддержания нормируемой температуры воздуха в административных помещениях комплекса, а также компенсации потерь тепла через ограждающие конструкции должно быть предусмотрено водяное отопление комплекса.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нагревательных приборов административной части должны быть приняты конвекторы стальные настенные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малой глубины типа «Универсал ТБ» или аналог, предназначенные для крепления к капитальным стенам комплекса и стальные напольные отопительные конвекторы типа «Универсал напольный – Ритм» или аналог.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нагревательных приборов складской части предусмотреть воздушное отопление агрегатами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Volcano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теплоотдачи отопительных приборов должно осуществляться посредствам изменения расхода теплоносителя с помощью терморегуляторов типа RTD-N или аналог с автоматическим термостатическим элементом типа RTD «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Inova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или аналог, установленными на подводках у приборов отопления.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Гидравлическая увязка потерь давления в системах отопления в проекте должна быть решена с помощью ручных балансировочных клапанов, установленных на стояках отопления.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проекте должны быть предусмотрены самостоятельные системы приточной и вытяжной вентиляции для следующих групп помещений:</w:t>
            </w:r>
          </w:p>
          <w:p w:rsidR="00E80424" w:rsidRPr="00E80424" w:rsidRDefault="00E80424" w:rsidP="00E80424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административного и инженерно-технического персонала, бытовых помещений для рабочих;</w:t>
            </w:r>
          </w:p>
          <w:p w:rsidR="00E80424" w:rsidRPr="00E80424" w:rsidRDefault="00E80424" w:rsidP="00E80424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складских помещений.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требуемых параметров воздушной среды в помещениях должна быть предусмотрена приточно-вытяжная вентиляция с механическим и естественным побуждением.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подачи и нагрева воздуха в помещениях комплекса использовать приточные и приточно-вытяжные вентиляционные установки производства «ВЕЗА» или аналог.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Вентиляционные установки должны поставляться укомплектованными встроенной системой автоматики и снабжены проводным пультом управления. Интегрированная система управления должна обеспечивать безопасную работу установки, поддерживать заданные параметры работы вентиляционной системы, оптимизировать затраты на эксплуатацию установок. В вентиляционных установках должны использоваться системы управления на основе цифровых контроллеров.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Электроснабжение и электроосвещение: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 по обеспечению надежности электроснабжения должны относиться к III категории, за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исключением приборов пожарной и охранной сигнализации, средств пожаротушения и аварийного освещения, относящихся к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электроприемникам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категории. Для питания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электроприемников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категории надежности предусмотреть установку панели автоматического ввода резерва (АВР). В качестве второго независимого источника принять существующую ДЭС.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освещенности помещений принять по СанПиН 2.21/2.1.1 1278 – 03 «Естественное и искусственное освещение. Нормы проектирования».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выбрать в соответствии с назначением и характеристикой помещения - светодиодные. Предусмотреть выполнение рабочего и аварийного освещения в соответствии с действующими нормами. Аварийное освещение предусмотреть светильниками с люминесцентными или светодиодными лампами (светильники должны оснащаться блоками автономного питания).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планируемых дополнительных нагрузок: - освещение прилегающей территории с парапета здания.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Автоматические выключатели и устройства защитного отключения использовать следующих производителей: АВВ,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Legrand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электроэнергии предусмотреть во ВРУ трехфазными многотарифными микропроцессорными счетчиками марки ЦЭ6823М с включением через трансформаторы тока.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 распределительные и групповые сети электрического освещения должны быть выполнены кабелями марки ВВГнг-LS. Прокладка силовых распределительных и групповых сетей должна быть выполнена: скрыто, в конструкциях стен и за подвесными потолками в металлических лотках, жестких пластиковых трубах, гибких гофрированных трубах; открыто.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заземления принять - TN-C-S.</w:t>
            </w:r>
          </w:p>
          <w:p w:rsidR="00E80424" w:rsidRPr="00E80424" w:rsidRDefault="00E80424" w:rsidP="00E80424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Наружное освещение территории выполнить от щита ЩНО-1 установленного в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электрощитовой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здания. Распределительные сети освещения выполнить кабелем марки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ВБбШв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проложенным в траншее и групповыми кабелями марки ВВГнг, проложенными внутри тела опор наружного освещения.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защиты персонала от поражения электрическим током металлические корпуса светильников наружного освещения присоединить к нулевому защитному проводнику групповой сети; стальные опоры присоединить к PE-проводнику распределительной сети. Предусмотреть основную и дополнительную систему уравнивания потенциалов. Основная система уравнивания потенциалов, должна соединять между собой следующие проводящие части: PEN проводники питающих линий; заземляющий проводник, присоединенный к заземлителю повторного заземления на вводе в здание; металлические трубы коммуникаций,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входящих в здание; металлические части систем вентиляции; заземляющее устройство системы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металлические части каркаса здания.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указанные проводящие части должны быть присоединены к отдельно установленной главной заземляющей шине (ГЗШ), выполненной полосовой сталью 5 × 40 мм при помощи проводников системы уравнивания потенциалов.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должно быть защищено от прямых ударов молнии категории. В качестве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молниеприемника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предусматривать использование металлических ограждений или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молниеприемных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стержней на кровле здания. От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молниеприемника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периметру здания должны быть выполнены токоотводы к заземляющему устройству, проложенному по периметру здания, выполненному из горизонтальных заземлителей – полосовая сталь 5 × 40 мм и вертикальных заземлителей – сталь 18 мм.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Охранно-пожарная сигнализация: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 системы охранной сигнализации должны входить: прибор приемно-контрольный охранно-пожарный «Сигнал-20» или аналог и пульт управления «С-2000М» или аналог. Управление системой охранной сигнализации должно производиться с пульта управления существующего здания.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охранной сигнализации должна быть интегрирована с системой пожарной сигнализации.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Электропитание системы выполнить от источника бесперебойного питания.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охранной сигнализации должна иметь два рубежа охраны. Первый рубеж: блокировку на "открывание" входных дверей выполнить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магнито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-контактными охранными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«ИО 102/20» или аналог и оптико-электронными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поверхностными типа «Фотон-106» или аналог; блокировку окон осуществлять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«ИО 102/4» или аналог 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оптико-электронными совмещёнными «Орлан-Ш» или аналог.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рубеж: блокировку на «открывание» остальных дверей выполнить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«ИО 102/5» или аналог; защита от проникновения в помещения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объемными пассивными оптико-электронными «Фотон-10» или аналог 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извещателями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объёмными комбинированными «Сокол-2» или аналог, устанавливаемыми в залах ванны.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Шлейфы охранной сигнализации выполнить кабелями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КПСЭнг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-FRHF 4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Предусмотреть систему контроля управления доступом.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Видеонаблюдение: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Выполнить систему видеонаблюдения: 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наружное видеонаблюдение территории по периметру территории (цель – обнаружение), главных входов (цель – идентификация), территории благоустройства (цель – распознавание);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Расстановку видеокамер наблюдения территории выполнить по согласованию с Заказчиком.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Срок хранения архива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 менее 21 дня</w:t>
            </w: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записи со скоростью 8-18 кадров/сек. Система видеонаблюдения – на базе IP камер разрешение камер решить проектом в соответствии с наблюдаемой зоной и задачей. Видеокамеры наружного наблюдения должны быть оборудованы механическим ИК фильтром, для камер с углом обзора 60 градусов по горизонтали и менее – обязательна встроенная ИК подсветка. Прокладку кабелей по территории выполнить скрыто.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 обеспечению условий жизнедеятельности маломобильных групп населения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технологией работ – среди сотрудников и посетителей ММГН не предусмотрено.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действующим законодательством.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по разработке мероприятий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соответствии с:</w:t>
            </w:r>
          </w:p>
          <w:p w:rsidR="00E80424" w:rsidRPr="00E80424" w:rsidRDefault="00E80424" w:rsidP="00E8042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Федеральным законом «Об энергосбережении и о повышении </w:t>
            </w:r>
            <w:proofErr w:type="gram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энергетической эффективности</w:t>
            </w:r>
            <w:proofErr w:type="gram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 внесении изменений в отдельные законодательные акты Российской Федерации» от 23.11.2009 № 261-ФЗ;</w:t>
            </w:r>
          </w:p>
          <w:p w:rsidR="00E80424" w:rsidRPr="00E80424" w:rsidRDefault="00E80424" w:rsidP="00E8042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 Свердловской области об энергосбережении и повышении энергетической эффективности на территории Свердловской области от 25.12.2009 № 117-ОЗ;</w:t>
            </w:r>
          </w:p>
          <w:p w:rsidR="00E80424" w:rsidRPr="00E80424" w:rsidRDefault="00E80424" w:rsidP="00E8042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Российской Федерации от 16.02.2008 №87 «О составе разделов проектной документации и требования к их содержанию»;</w:t>
            </w:r>
          </w:p>
          <w:p w:rsidR="00E80424" w:rsidRPr="00E80424" w:rsidRDefault="00E80424" w:rsidP="00E8042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50.13330.2012 «Тепловая защита зданий»;</w:t>
            </w:r>
          </w:p>
          <w:p w:rsidR="00E80424" w:rsidRPr="00E80424" w:rsidRDefault="00E80424" w:rsidP="00E80424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23-301-2004 «Энергетическая эффективность жилых и общественных зданий».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Разработать мероприятия по обеспечению соблюдения требований энергетической эффективности и требований оснащенности здания приборами учета используемых энергетических ресурсов.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проверку величины удельных затрат тепловой и электрической энергии для нужд отопления, вентиляции и кондиционирования на соответствие требованиям ГОСТ 54964-2012.</w:t>
            </w:r>
          </w:p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Применить </w:t>
            </w:r>
            <w:proofErr w:type="spellStart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энергоэффективное</w:t>
            </w:r>
            <w:proofErr w:type="spellEnd"/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освещение, по возможности светодиодное.</w:t>
            </w:r>
          </w:p>
        </w:tc>
      </w:tr>
      <w:tr w:rsidR="00E80424" w:rsidRPr="00E80424" w:rsidTr="00E80424">
        <w:trPr>
          <w:trHeight w:val="345"/>
          <w:jc w:val="center"/>
        </w:trPr>
        <w:tc>
          <w:tcPr>
            <w:tcW w:w="28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679" w:right="127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требования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E80424" w:rsidRPr="00E80424" w:rsidRDefault="00E80424" w:rsidP="00E80424">
            <w:pPr>
              <w:spacing w:before="100" w:beforeAutospacing="1" w:after="100" w:afterAutospacing="1" w:line="240" w:lineRule="auto"/>
              <w:ind w:left="5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рассмотрения у Заказчика, проектировщик вносит изменения и дополнения, не противоречащие этому заданию, в проектную продукцию объекта капитального строительства.</w:t>
            </w:r>
          </w:p>
        </w:tc>
      </w:tr>
    </w:tbl>
    <w:p w:rsidR="00482070" w:rsidRDefault="00453D09"/>
    <w:sectPr w:rsidR="00482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5A9D"/>
    <w:multiLevelType w:val="multilevel"/>
    <w:tmpl w:val="0CA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B07E3"/>
    <w:multiLevelType w:val="multilevel"/>
    <w:tmpl w:val="9DAEB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B4478"/>
    <w:multiLevelType w:val="multilevel"/>
    <w:tmpl w:val="F7B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9B02C6"/>
    <w:multiLevelType w:val="multilevel"/>
    <w:tmpl w:val="2186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84A93"/>
    <w:multiLevelType w:val="multilevel"/>
    <w:tmpl w:val="7284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F740A"/>
    <w:multiLevelType w:val="multilevel"/>
    <w:tmpl w:val="E616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42162"/>
    <w:multiLevelType w:val="multilevel"/>
    <w:tmpl w:val="E888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E250C6"/>
    <w:multiLevelType w:val="multilevel"/>
    <w:tmpl w:val="2120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02256C"/>
    <w:multiLevelType w:val="multilevel"/>
    <w:tmpl w:val="AFDE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D04118"/>
    <w:multiLevelType w:val="multilevel"/>
    <w:tmpl w:val="DC6E20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5034FA"/>
    <w:multiLevelType w:val="multilevel"/>
    <w:tmpl w:val="42AC4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1701D5"/>
    <w:multiLevelType w:val="multilevel"/>
    <w:tmpl w:val="D1A441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6C2094"/>
    <w:multiLevelType w:val="multilevel"/>
    <w:tmpl w:val="133E99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9A720E"/>
    <w:multiLevelType w:val="multilevel"/>
    <w:tmpl w:val="97CCE2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16707B"/>
    <w:multiLevelType w:val="multilevel"/>
    <w:tmpl w:val="BED4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1A2E93"/>
    <w:multiLevelType w:val="multilevel"/>
    <w:tmpl w:val="EDC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939FE"/>
    <w:multiLevelType w:val="multilevel"/>
    <w:tmpl w:val="FE52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28414D"/>
    <w:multiLevelType w:val="multilevel"/>
    <w:tmpl w:val="E50A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C706BE"/>
    <w:multiLevelType w:val="multilevel"/>
    <w:tmpl w:val="C2141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FB6F72"/>
    <w:multiLevelType w:val="multilevel"/>
    <w:tmpl w:val="634A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D805A1"/>
    <w:multiLevelType w:val="multilevel"/>
    <w:tmpl w:val="29840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0D79DD"/>
    <w:multiLevelType w:val="multilevel"/>
    <w:tmpl w:val="ED94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2F65D5"/>
    <w:multiLevelType w:val="multilevel"/>
    <w:tmpl w:val="F0940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2324DA"/>
    <w:multiLevelType w:val="multilevel"/>
    <w:tmpl w:val="CD7247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A43802"/>
    <w:multiLevelType w:val="multilevel"/>
    <w:tmpl w:val="C1B4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92E13"/>
    <w:multiLevelType w:val="multilevel"/>
    <w:tmpl w:val="847E42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703404"/>
    <w:multiLevelType w:val="multilevel"/>
    <w:tmpl w:val="5A8870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3"/>
  </w:num>
  <w:num w:numId="3">
    <w:abstractNumId w:val="11"/>
  </w:num>
  <w:num w:numId="4">
    <w:abstractNumId w:val="13"/>
  </w:num>
  <w:num w:numId="5">
    <w:abstractNumId w:val="26"/>
  </w:num>
  <w:num w:numId="6">
    <w:abstractNumId w:val="5"/>
  </w:num>
  <w:num w:numId="7">
    <w:abstractNumId w:val="25"/>
  </w:num>
  <w:num w:numId="8">
    <w:abstractNumId w:val="9"/>
  </w:num>
  <w:num w:numId="9">
    <w:abstractNumId w:val="12"/>
  </w:num>
  <w:num w:numId="10">
    <w:abstractNumId w:val="3"/>
  </w:num>
  <w:num w:numId="11">
    <w:abstractNumId w:val="20"/>
  </w:num>
  <w:num w:numId="12">
    <w:abstractNumId w:val="4"/>
  </w:num>
  <w:num w:numId="13">
    <w:abstractNumId w:val="0"/>
  </w:num>
  <w:num w:numId="14">
    <w:abstractNumId w:val="16"/>
  </w:num>
  <w:num w:numId="15">
    <w:abstractNumId w:val="15"/>
  </w:num>
  <w:num w:numId="16">
    <w:abstractNumId w:val="10"/>
  </w:num>
  <w:num w:numId="17">
    <w:abstractNumId w:val="19"/>
  </w:num>
  <w:num w:numId="18">
    <w:abstractNumId w:val="17"/>
  </w:num>
  <w:num w:numId="19">
    <w:abstractNumId w:val="18"/>
  </w:num>
  <w:num w:numId="20">
    <w:abstractNumId w:val="7"/>
  </w:num>
  <w:num w:numId="21">
    <w:abstractNumId w:val="24"/>
  </w:num>
  <w:num w:numId="22">
    <w:abstractNumId w:val="21"/>
  </w:num>
  <w:num w:numId="23">
    <w:abstractNumId w:val="2"/>
  </w:num>
  <w:num w:numId="24">
    <w:abstractNumId w:val="8"/>
  </w:num>
  <w:num w:numId="25">
    <w:abstractNumId w:val="6"/>
  </w:num>
  <w:num w:numId="26">
    <w:abstractNumId w:val="2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24"/>
    <w:rsid w:val="00453D09"/>
    <w:rsid w:val="007714AC"/>
    <w:rsid w:val="008D0766"/>
    <w:rsid w:val="00E80424"/>
    <w:rsid w:val="00F6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B8F2"/>
  <w15:chartTrackingRefBased/>
  <w15:docId w15:val="{F20510AB-65DC-47E1-8463-FED09EA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0424"/>
    <w:rPr>
      <w:b/>
      <w:bCs/>
    </w:rPr>
  </w:style>
  <w:style w:type="paragraph" w:customStyle="1" w:styleId="conspluscell">
    <w:name w:val="conspluscell"/>
    <w:basedOn w:val="a"/>
    <w:rsid w:val="00E80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2889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Алексей Николаевич</dc:creator>
  <cp:keywords/>
  <dc:description/>
  <cp:lastModifiedBy>Максимов Алексей Николаевич</cp:lastModifiedBy>
  <cp:revision>1</cp:revision>
  <dcterms:created xsi:type="dcterms:W3CDTF">2021-09-08T09:41:00Z</dcterms:created>
  <dcterms:modified xsi:type="dcterms:W3CDTF">2021-09-08T11:14:00Z</dcterms:modified>
</cp:coreProperties>
</file>